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4" w:rsidRPr="00A22F1D" w:rsidRDefault="005B4B78" w:rsidP="00454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Памятка </w:t>
      </w:r>
      <w:r w:rsidR="00284EA8" w:rsidRPr="00A22F1D">
        <w:rPr>
          <w:b/>
          <w:bCs/>
          <w:color w:val="000000"/>
          <w:sz w:val="28"/>
          <w:szCs w:val="28"/>
        </w:rPr>
        <w:t>по соблюдению обязательных требований</w:t>
      </w:r>
      <w:r w:rsidR="005A2B57" w:rsidRPr="00A22F1D">
        <w:rPr>
          <w:b/>
          <w:bCs/>
          <w:color w:val="000000"/>
          <w:sz w:val="28"/>
          <w:szCs w:val="28"/>
        </w:rPr>
        <w:t xml:space="preserve"> для участников строительства (субъектов </w:t>
      </w:r>
      <w:r>
        <w:rPr>
          <w:b/>
          <w:bCs/>
          <w:color w:val="000000"/>
          <w:sz w:val="28"/>
          <w:szCs w:val="28"/>
        </w:rPr>
        <w:t>предпринимательской деятельности</w:t>
      </w:r>
      <w:r w:rsidR="005A2B57" w:rsidRPr="00A22F1D">
        <w:rPr>
          <w:b/>
          <w:bCs/>
          <w:color w:val="000000"/>
          <w:sz w:val="28"/>
          <w:szCs w:val="28"/>
        </w:rPr>
        <w:t xml:space="preserve">) при </w:t>
      </w:r>
      <w:r w:rsidR="00284EA8" w:rsidRPr="00A22F1D">
        <w:rPr>
          <w:b/>
          <w:bCs/>
          <w:color w:val="000000"/>
          <w:sz w:val="28"/>
          <w:szCs w:val="28"/>
        </w:rPr>
        <w:t>осуществлени</w:t>
      </w:r>
      <w:r w:rsidR="00BF5BA9">
        <w:rPr>
          <w:b/>
          <w:bCs/>
          <w:color w:val="000000"/>
          <w:sz w:val="28"/>
          <w:szCs w:val="28"/>
        </w:rPr>
        <w:t>и</w:t>
      </w:r>
      <w:r w:rsidR="00284EA8" w:rsidRPr="00A22F1D">
        <w:rPr>
          <w:b/>
          <w:bCs/>
          <w:color w:val="000000"/>
          <w:sz w:val="28"/>
          <w:szCs w:val="28"/>
        </w:rPr>
        <w:t xml:space="preserve"> регионального </w:t>
      </w:r>
      <w:bookmarkStart w:id="0" w:name="_GoBack"/>
      <w:r w:rsidR="00284EA8" w:rsidRPr="00A22F1D">
        <w:rPr>
          <w:b/>
          <w:bCs/>
          <w:color w:val="000000"/>
          <w:sz w:val="28"/>
          <w:szCs w:val="28"/>
        </w:rPr>
        <w:t>государственного строительного надзора</w:t>
      </w:r>
      <w:r w:rsidR="00454914" w:rsidRPr="00A22F1D">
        <w:rPr>
          <w:b/>
          <w:bCs/>
          <w:color w:val="000000"/>
          <w:sz w:val="28"/>
          <w:szCs w:val="28"/>
        </w:rPr>
        <w:t xml:space="preserve"> </w:t>
      </w:r>
      <w:bookmarkEnd w:id="0"/>
    </w:p>
    <w:p w:rsidR="00A22F1D" w:rsidRPr="00C77E7E" w:rsidRDefault="00A22F1D" w:rsidP="0045491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B4B78" w:rsidRPr="007F5F04" w:rsidRDefault="005B4B78" w:rsidP="005B4B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A4C8D">
        <w:rPr>
          <w:sz w:val="28"/>
          <w:szCs w:val="28"/>
        </w:rPr>
        <w:t xml:space="preserve">Уполномоченным органом исполнительной власти Архангельской области по осуществлению регионального государственного </w:t>
      </w:r>
      <w:r>
        <w:rPr>
          <w:sz w:val="28"/>
          <w:szCs w:val="28"/>
        </w:rPr>
        <w:t>строительного надзора</w:t>
      </w:r>
      <w:r w:rsidRPr="007F5F04">
        <w:rPr>
          <w:bCs/>
          <w:color w:val="000000"/>
          <w:sz w:val="27"/>
          <w:szCs w:val="27"/>
        </w:rPr>
        <w:t xml:space="preserve"> на территории Архангельской области</w:t>
      </w:r>
      <w:r w:rsidRPr="005A4C8D">
        <w:rPr>
          <w:sz w:val="28"/>
          <w:szCs w:val="28"/>
        </w:rPr>
        <w:t xml:space="preserve"> является </w:t>
      </w:r>
      <w:r>
        <w:rPr>
          <w:b/>
          <w:sz w:val="28"/>
          <w:szCs w:val="28"/>
        </w:rPr>
        <w:t>инспекция государственного строительного надзора</w:t>
      </w:r>
      <w:r w:rsidRPr="005A4C8D">
        <w:rPr>
          <w:b/>
          <w:sz w:val="28"/>
          <w:szCs w:val="28"/>
        </w:rPr>
        <w:t xml:space="preserve"> Архангельской области</w:t>
      </w:r>
      <w:r w:rsidRPr="005A4C8D">
        <w:rPr>
          <w:sz w:val="28"/>
          <w:szCs w:val="28"/>
        </w:rPr>
        <w:t>.</w:t>
      </w:r>
    </w:p>
    <w:p w:rsidR="005B4B78" w:rsidRDefault="005B4B78" w:rsidP="00DC1557">
      <w:pPr>
        <w:pStyle w:val="a3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</w:p>
    <w:p w:rsidR="00284EA8" w:rsidRPr="00A22F1D" w:rsidRDefault="00284EA8" w:rsidP="00DC1557">
      <w:pPr>
        <w:pStyle w:val="a3"/>
        <w:shd w:val="clear" w:color="auto" w:fill="FFFFFF"/>
        <w:spacing w:before="0" w:beforeAutospacing="0" w:after="0" w:afterAutospacing="0"/>
        <w:ind w:left="20" w:firstLine="720"/>
        <w:jc w:val="both"/>
        <w:rPr>
          <w:sz w:val="28"/>
          <w:szCs w:val="28"/>
        </w:rPr>
      </w:pPr>
      <w:r w:rsidRPr="00A22F1D">
        <w:rPr>
          <w:color w:val="000000"/>
          <w:sz w:val="28"/>
          <w:szCs w:val="28"/>
        </w:rPr>
        <w:t>Региональный государственный строительный надзор осуществляется</w:t>
      </w:r>
      <w:r w:rsidR="003B4FAB" w:rsidRPr="00A22F1D">
        <w:rPr>
          <w:color w:val="000000"/>
          <w:sz w:val="28"/>
          <w:szCs w:val="28"/>
        </w:rPr>
        <w:t xml:space="preserve"> </w:t>
      </w:r>
      <w:r w:rsidR="00A22F1D" w:rsidRPr="00A22F1D">
        <w:rPr>
          <w:color w:val="000000"/>
          <w:sz w:val="28"/>
          <w:szCs w:val="28"/>
        </w:rPr>
        <w:t xml:space="preserve">                      </w:t>
      </w:r>
      <w:r w:rsidRPr="00A22F1D">
        <w:rPr>
          <w:color w:val="000000"/>
          <w:sz w:val="28"/>
          <w:szCs w:val="28"/>
        </w:rPr>
        <w:t xml:space="preserve">в соответствии с </w:t>
      </w:r>
      <w:r w:rsidR="00B95373" w:rsidRPr="00A22F1D">
        <w:rPr>
          <w:color w:val="000000"/>
          <w:sz w:val="28"/>
          <w:szCs w:val="28"/>
        </w:rPr>
        <w:t xml:space="preserve">Федерального закона от 26 декабря 2008 года № 294-ФЗ </w:t>
      </w:r>
      <w:r w:rsidR="00C77E7E">
        <w:rPr>
          <w:color w:val="000000"/>
          <w:sz w:val="28"/>
          <w:szCs w:val="28"/>
        </w:rPr>
        <w:t xml:space="preserve">         </w:t>
      </w:r>
      <w:r w:rsidR="00B95373" w:rsidRPr="00A22F1D"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</w:t>
      </w:r>
      <w:r w:rsidRPr="00A22F1D">
        <w:rPr>
          <w:color w:val="000000"/>
          <w:sz w:val="28"/>
          <w:szCs w:val="28"/>
        </w:rPr>
        <w:t xml:space="preserve"> с учетом особенностей организации и проведения проверок, установленных частью 5 статьи</w:t>
      </w:r>
      <w:r w:rsidR="00454914" w:rsidRPr="00A22F1D">
        <w:rPr>
          <w:color w:val="000000"/>
          <w:sz w:val="28"/>
          <w:szCs w:val="28"/>
        </w:rPr>
        <w:t xml:space="preserve"> </w:t>
      </w:r>
      <w:r w:rsidRPr="00A22F1D">
        <w:rPr>
          <w:color w:val="000000"/>
          <w:sz w:val="28"/>
          <w:szCs w:val="28"/>
        </w:rPr>
        <w:t>54 Градостроительного кодекса Российской Федерации, нормативными правовыми актами Правительства Российской Федерации</w:t>
      </w:r>
      <w:r w:rsidR="00B95373" w:rsidRPr="00A22F1D">
        <w:rPr>
          <w:color w:val="000000"/>
          <w:sz w:val="28"/>
          <w:szCs w:val="28"/>
        </w:rPr>
        <w:t xml:space="preserve"> (далее также - </w:t>
      </w:r>
      <w:proofErr w:type="spellStart"/>
      <w:r w:rsidR="00B95373" w:rsidRPr="00A22F1D">
        <w:rPr>
          <w:color w:val="000000"/>
          <w:sz w:val="28"/>
          <w:szCs w:val="28"/>
        </w:rPr>
        <w:t>ГрК</w:t>
      </w:r>
      <w:proofErr w:type="spellEnd"/>
      <w:r w:rsidR="00B95373" w:rsidRPr="00A22F1D">
        <w:rPr>
          <w:color w:val="000000"/>
          <w:sz w:val="28"/>
          <w:szCs w:val="28"/>
        </w:rPr>
        <w:t xml:space="preserve"> РФ)</w:t>
      </w:r>
      <w:r w:rsidRPr="00A22F1D">
        <w:rPr>
          <w:color w:val="000000"/>
          <w:sz w:val="28"/>
          <w:szCs w:val="28"/>
        </w:rPr>
        <w:t xml:space="preserve">, </w:t>
      </w:r>
      <w:hyperlink r:id="rId7" w:history="1">
        <w:r w:rsidRPr="003470BA">
          <w:rPr>
            <w:rStyle w:val="a5"/>
            <w:sz w:val="28"/>
            <w:szCs w:val="28"/>
          </w:rPr>
          <w:t xml:space="preserve">иными нормативными правовыми актами Российской Федерации </w:t>
        </w:r>
        <w:r w:rsidR="00A22F1D" w:rsidRPr="003470BA">
          <w:rPr>
            <w:rStyle w:val="a5"/>
            <w:sz w:val="28"/>
            <w:szCs w:val="28"/>
          </w:rPr>
          <w:t xml:space="preserve">                         </w:t>
        </w:r>
        <w:r w:rsidRPr="003470BA">
          <w:rPr>
            <w:rStyle w:val="a5"/>
            <w:sz w:val="28"/>
            <w:szCs w:val="28"/>
          </w:rPr>
          <w:t>и</w:t>
        </w:r>
        <w:r w:rsidR="005A2B57" w:rsidRPr="003470BA">
          <w:rPr>
            <w:rStyle w:val="a5"/>
            <w:sz w:val="28"/>
            <w:szCs w:val="28"/>
          </w:rPr>
          <w:t xml:space="preserve"> Архангельской области</w:t>
        </w:r>
      </w:hyperlink>
      <w:r w:rsidRPr="00A22F1D">
        <w:rPr>
          <w:color w:val="000000"/>
          <w:sz w:val="28"/>
          <w:szCs w:val="28"/>
        </w:rPr>
        <w:t>.</w:t>
      </w:r>
    </w:p>
    <w:p w:rsidR="00284EA8" w:rsidRPr="00113020" w:rsidRDefault="00284EA8" w:rsidP="00C77E7E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8D1302">
        <w:rPr>
          <w:b/>
          <w:sz w:val="28"/>
          <w:szCs w:val="28"/>
        </w:rPr>
        <w:t>Предметом государственного строительного надзора</w:t>
      </w:r>
      <w:r w:rsidRPr="00113020">
        <w:rPr>
          <w:sz w:val="28"/>
          <w:szCs w:val="28"/>
        </w:rPr>
        <w:t xml:space="preserve"> в отношении </w:t>
      </w:r>
      <w:r w:rsidR="00113020" w:rsidRPr="00113020">
        <w:rPr>
          <w:sz w:val="28"/>
          <w:szCs w:val="28"/>
        </w:rPr>
        <w:t>о</w:t>
      </w:r>
      <w:r w:rsidRPr="00113020">
        <w:rPr>
          <w:sz w:val="28"/>
          <w:szCs w:val="28"/>
        </w:rPr>
        <w:t xml:space="preserve">бъектов капитального строительства, указанных в части 1 статьи 54 </w:t>
      </w:r>
      <w:proofErr w:type="spellStart"/>
      <w:r w:rsidRPr="00113020">
        <w:rPr>
          <w:sz w:val="28"/>
          <w:szCs w:val="28"/>
        </w:rPr>
        <w:t>Гр</w:t>
      </w:r>
      <w:r w:rsidR="0019197E" w:rsidRPr="00113020">
        <w:rPr>
          <w:sz w:val="28"/>
          <w:szCs w:val="28"/>
        </w:rPr>
        <w:t>К</w:t>
      </w:r>
      <w:proofErr w:type="spellEnd"/>
      <w:r w:rsidR="0019197E" w:rsidRPr="00113020">
        <w:rPr>
          <w:sz w:val="28"/>
          <w:szCs w:val="28"/>
        </w:rPr>
        <w:t xml:space="preserve"> </w:t>
      </w:r>
      <w:r w:rsidRPr="00113020">
        <w:rPr>
          <w:sz w:val="28"/>
          <w:szCs w:val="28"/>
        </w:rPr>
        <w:t xml:space="preserve">РФ, является </w:t>
      </w:r>
      <w:r w:rsidRPr="008D1302">
        <w:rPr>
          <w:b/>
          <w:sz w:val="28"/>
          <w:szCs w:val="28"/>
        </w:rPr>
        <w:t>проверка</w:t>
      </w:r>
      <w:r w:rsidRPr="00113020">
        <w:rPr>
          <w:sz w:val="28"/>
          <w:szCs w:val="28"/>
        </w:rPr>
        <w:t>:</w:t>
      </w:r>
    </w:p>
    <w:p w:rsidR="00FF22B2" w:rsidRPr="00A22F1D" w:rsidRDefault="008D1302" w:rsidP="0011302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2B2" w:rsidRPr="00A22F1D">
        <w:rPr>
          <w:rFonts w:ascii="Times New Roman" w:hAnsi="Times New Roman" w:cs="Times New Roman"/>
          <w:sz w:val="28"/>
          <w:szCs w:val="28"/>
        </w:rPr>
        <w:t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</w:t>
      </w:r>
      <w:r w:rsidR="003B4FAB" w:rsidRPr="00A22F1D">
        <w:rPr>
          <w:rFonts w:ascii="Times New Roman" w:hAnsi="Times New Roman" w:cs="Times New Roman"/>
          <w:sz w:val="28"/>
          <w:szCs w:val="28"/>
        </w:rPr>
        <w:t xml:space="preserve"> </w:t>
      </w:r>
      <w:r w:rsidR="00FF22B2" w:rsidRPr="00A22F1D">
        <w:rPr>
          <w:rFonts w:ascii="Times New Roman" w:hAnsi="Times New Roman" w:cs="Times New Roman"/>
          <w:sz w:val="28"/>
          <w:szCs w:val="28"/>
        </w:rPr>
        <w:t>проектной документации (с учетом изменений, внесенных в проектную документацию</w:t>
      </w:r>
      <w:r w:rsidR="002725E7" w:rsidRPr="00A22F1D">
        <w:rPr>
          <w:rFonts w:ascii="Times New Roman" w:hAnsi="Times New Roman" w:cs="Times New Roman"/>
          <w:sz w:val="28"/>
          <w:szCs w:val="28"/>
        </w:rPr>
        <w:t>)</w:t>
      </w:r>
      <w:r w:rsidR="00FF22B2" w:rsidRPr="00A2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354D" w:rsidRPr="00A22F1D">
        <w:rPr>
          <w:color w:val="000000"/>
          <w:sz w:val="28"/>
          <w:szCs w:val="28"/>
        </w:rPr>
        <w:t>н</w:t>
      </w:r>
      <w:r w:rsidR="00284EA8" w:rsidRPr="00A22F1D">
        <w:rPr>
          <w:color w:val="000000"/>
          <w:sz w:val="28"/>
          <w:szCs w:val="28"/>
        </w:rPr>
        <w:t>аличия разрешения на строительство;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354D" w:rsidRPr="00A22F1D">
        <w:rPr>
          <w:color w:val="000000"/>
          <w:sz w:val="28"/>
          <w:szCs w:val="28"/>
        </w:rPr>
        <w:t>в</w:t>
      </w:r>
      <w:r w:rsidR="00284EA8" w:rsidRPr="00A22F1D">
        <w:rPr>
          <w:color w:val="000000"/>
          <w:sz w:val="28"/>
          <w:szCs w:val="28"/>
        </w:rPr>
        <w:t xml:space="preserve">ыполнения требований, установленных частями 2, 3 и 3.1 статьи 52 </w:t>
      </w:r>
      <w:proofErr w:type="spellStart"/>
      <w:r w:rsidR="0019197E" w:rsidRPr="00A22F1D">
        <w:rPr>
          <w:color w:val="000000"/>
          <w:sz w:val="28"/>
          <w:szCs w:val="28"/>
        </w:rPr>
        <w:t>ГрК</w:t>
      </w:r>
      <w:proofErr w:type="spellEnd"/>
      <w:r w:rsidR="0019197E" w:rsidRPr="00A22F1D">
        <w:rPr>
          <w:color w:val="000000"/>
          <w:sz w:val="28"/>
          <w:szCs w:val="28"/>
        </w:rPr>
        <w:t xml:space="preserve"> РФ</w:t>
      </w:r>
      <w:r w:rsidR="00284EA8" w:rsidRPr="00A22F1D">
        <w:rPr>
          <w:color w:val="000000"/>
          <w:sz w:val="28"/>
          <w:szCs w:val="28"/>
        </w:rPr>
        <w:t>.</w:t>
      </w:r>
    </w:p>
    <w:p w:rsidR="00A22F1D" w:rsidRDefault="00A22F1D" w:rsidP="00A22F1D">
      <w:pPr>
        <w:pStyle w:val="a3"/>
        <w:shd w:val="clear" w:color="auto" w:fill="FFFFFF"/>
        <w:spacing w:before="0" w:beforeAutospacing="0" w:after="0" w:afterAutospacing="0"/>
        <w:ind w:left="220" w:right="220"/>
        <w:jc w:val="center"/>
        <w:rPr>
          <w:b/>
          <w:bCs/>
          <w:color w:val="000000"/>
          <w:sz w:val="28"/>
          <w:szCs w:val="28"/>
        </w:rPr>
      </w:pPr>
    </w:p>
    <w:p w:rsidR="00A22F1D" w:rsidRPr="00A22F1D" w:rsidRDefault="00A22F1D" w:rsidP="00A22F1D">
      <w:pPr>
        <w:pStyle w:val="a3"/>
        <w:shd w:val="clear" w:color="auto" w:fill="FFFFFF"/>
        <w:spacing w:before="0" w:beforeAutospacing="0" w:after="0" w:afterAutospacing="0"/>
        <w:ind w:left="220" w:right="220"/>
        <w:jc w:val="center"/>
        <w:rPr>
          <w:sz w:val="28"/>
          <w:szCs w:val="28"/>
        </w:rPr>
      </w:pPr>
      <w:r w:rsidRPr="00A22F1D">
        <w:rPr>
          <w:b/>
          <w:bCs/>
          <w:color w:val="000000"/>
          <w:sz w:val="28"/>
          <w:szCs w:val="28"/>
        </w:rPr>
        <w:t>Рекомендации по соблюдению обязательных требований, подлежащих исполнению участниками строительства</w:t>
      </w:r>
    </w:p>
    <w:p w:rsidR="00284EA8" w:rsidRPr="00A22F1D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sz w:val="28"/>
          <w:szCs w:val="28"/>
        </w:rPr>
      </w:pPr>
      <w:r w:rsidRPr="00A22F1D">
        <w:rPr>
          <w:color w:val="000000"/>
          <w:sz w:val="28"/>
          <w:szCs w:val="28"/>
        </w:rPr>
        <w:t>Осуществление регионального государственного строительного надзора</w:t>
      </w:r>
      <w:r w:rsidR="00113020">
        <w:rPr>
          <w:color w:val="000000"/>
          <w:sz w:val="28"/>
          <w:szCs w:val="28"/>
        </w:rPr>
        <w:t xml:space="preserve"> </w:t>
      </w:r>
      <w:r w:rsidRPr="00A22F1D">
        <w:rPr>
          <w:color w:val="000000"/>
          <w:sz w:val="28"/>
          <w:szCs w:val="28"/>
        </w:rPr>
        <w:t xml:space="preserve">начинается с даты обращения застройщика (технического заказчика) в </w:t>
      </w:r>
      <w:r w:rsidR="008D1302" w:rsidRPr="008D1302">
        <w:rPr>
          <w:sz w:val="28"/>
          <w:szCs w:val="28"/>
        </w:rPr>
        <w:t>инспекцию государственного строительного надзора Архангельской области</w:t>
      </w:r>
      <w:r w:rsidR="008D1302" w:rsidRPr="008D1302">
        <w:rPr>
          <w:color w:val="000000"/>
          <w:sz w:val="28"/>
          <w:szCs w:val="28"/>
        </w:rPr>
        <w:t xml:space="preserve"> </w:t>
      </w:r>
      <w:r w:rsidRPr="00A22F1D">
        <w:rPr>
          <w:color w:val="000000"/>
          <w:sz w:val="28"/>
          <w:szCs w:val="28"/>
        </w:rPr>
        <w:t>с извещением о начале строительства.</w:t>
      </w:r>
    </w:p>
    <w:p w:rsidR="00284EA8" w:rsidRPr="00A22F1D" w:rsidRDefault="00A22F1D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 w:rsidRPr="00A22F1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случае</w:t>
      </w:r>
      <w:r w:rsidR="00284EA8" w:rsidRPr="00A22F1D">
        <w:rPr>
          <w:color w:val="000000"/>
          <w:sz w:val="28"/>
          <w:szCs w:val="28"/>
        </w:rPr>
        <w:t xml:space="preserve"> если в соответствии с </w:t>
      </w:r>
      <w:proofErr w:type="spellStart"/>
      <w:r w:rsidR="00FF22B2" w:rsidRPr="00A22F1D">
        <w:rPr>
          <w:color w:val="000000"/>
          <w:sz w:val="28"/>
          <w:szCs w:val="28"/>
        </w:rPr>
        <w:t>ГрК</w:t>
      </w:r>
      <w:proofErr w:type="spellEnd"/>
      <w:r w:rsidR="00FF22B2" w:rsidRPr="00A22F1D">
        <w:rPr>
          <w:color w:val="000000"/>
          <w:sz w:val="28"/>
          <w:szCs w:val="28"/>
        </w:rPr>
        <w:t xml:space="preserve"> РФ</w:t>
      </w:r>
      <w:r w:rsidR="005D0BB4" w:rsidRPr="00A22F1D">
        <w:rPr>
          <w:color w:val="000000"/>
          <w:sz w:val="28"/>
          <w:szCs w:val="28"/>
        </w:rPr>
        <w:t xml:space="preserve"> </w:t>
      </w:r>
      <w:r w:rsidR="00284EA8" w:rsidRPr="00A22F1D">
        <w:rPr>
          <w:color w:val="000000"/>
          <w:sz w:val="28"/>
          <w:szCs w:val="28"/>
        </w:rPr>
        <w:t xml:space="preserve">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позднее чем за </w:t>
      </w:r>
      <w:r w:rsidR="008D1302">
        <w:rPr>
          <w:color w:val="000000"/>
          <w:sz w:val="28"/>
          <w:szCs w:val="28"/>
        </w:rPr>
        <w:t>7</w:t>
      </w:r>
      <w:r w:rsidR="00284EA8" w:rsidRPr="00A22F1D">
        <w:rPr>
          <w:color w:val="000000"/>
          <w:sz w:val="28"/>
          <w:szCs w:val="28"/>
        </w:rPr>
        <w:t xml:space="preserve"> рабочих дней до начала строительства, реконструкции объекта капитального строительства должен направить в </w:t>
      </w:r>
      <w:r w:rsidR="008D1302">
        <w:rPr>
          <w:color w:val="000000"/>
          <w:sz w:val="28"/>
          <w:szCs w:val="28"/>
        </w:rPr>
        <w:t>инспекцию</w:t>
      </w:r>
      <w:r w:rsidR="00284EA8" w:rsidRPr="00A22F1D">
        <w:rPr>
          <w:color w:val="000000"/>
          <w:sz w:val="28"/>
          <w:szCs w:val="28"/>
        </w:rPr>
        <w:t xml:space="preserve"> извещение о начале таких работ, к которому </w:t>
      </w:r>
      <w:r>
        <w:rPr>
          <w:color w:val="000000"/>
          <w:sz w:val="28"/>
          <w:szCs w:val="28"/>
        </w:rPr>
        <w:t>прилагаются следующие документы: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354D" w:rsidRPr="00A22F1D">
        <w:rPr>
          <w:color w:val="000000"/>
          <w:sz w:val="28"/>
          <w:szCs w:val="28"/>
        </w:rPr>
        <w:t>к</w:t>
      </w:r>
      <w:r w:rsidR="00284EA8" w:rsidRPr="00A22F1D">
        <w:rPr>
          <w:color w:val="000000"/>
          <w:sz w:val="28"/>
          <w:szCs w:val="28"/>
        </w:rPr>
        <w:t>опия разрешения на строительство;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84EA8" w:rsidRPr="00A22F1D">
        <w:rPr>
          <w:color w:val="000000"/>
          <w:sz w:val="28"/>
          <w:szCs w:val="28"/>
        </w:rPr>
        <w:t>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354D" w:rsidRPr="00A22F1D">
        <w:rPr>
          <w:color w:val="000000"/>
          <w:sz w:val="28"/>
          <w:szCs w:val="28"/>
        </w:rPr>
        <w:t>к</w:t>
      </w:r>
      <w:r w:rsidR="00284EA8" w:rsidRPr="00A22F1D">
        <w:rPr>
          <w:color w:val="000000"/>
          <w:sz w:val="28"/>
          <w:szCs w:val="28"/>
        </w:rPr>
        <w:t>опия документа о вынесении на местность линий отступа от красных линий;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354D" w:rsidRPr="00A22F1D">
        <w:rPr>
          <w:color w:val="000000"/>
          <w:sz w:val="28"/>
          <w:szCs w:val="28"/>
        </w:rPr>
        <w:t>о</w:t>
      </w:r>
      <w:r w:rsidR="00284EA8" w:rsidRPr="00A22F1D">
        <w:rPr>
          <w:color w:val="000000"/>
          <w:sz w:val="28"/>
          <w:szCs w:val="28"/>
        </w:rPr>
        <w:t>бщий и специальные журналы, в которых ведется учет выполнения работ;</w:t>
      </w:r>
    </w:p>
    <w:p w:rsidR="00284EA8" w:rsidRPr="00A22F1D" w:rsidRDefault="008D1302" w:rsidP="0060354D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354D" w:rsidRPr="00A22F1D">
        <w:rPr>
          <w:color w:val="000000"/>
          <w:sz w:val="28"/>
          <w:szCs w:val="28"/>
        </w:rPr>
        <w:t>п</w:t>
      </w:r>
      <w:r w:rsidR="00284EA8" w:rsidRPr="00A22F1D">
        <w:rPr>
          <w:color w:val="000000"/>
          <w:sz w:val="28"/>
          <w:szCs w:val="28"/>
        </w:rPr>
        <w:t>оложительное заключение экспертизы проектной документации</w:t>
      </w:r>
      <w:r w:rsidR="00A22F1D">
        <w:rPr>
          <w:color w:val="000000"/>
          <w:sz w:val="28"/>
          <w:szCs w:val="28"/>
        </w:rPr>
        <w:t xml:space="preserve"> </w:t>
      </w:r>
      <w:r w:rsidR="00284EA8" w:rsidRPr="00A22F1D">
        <w:rPr>
          <w:color w:val="000000"/>
          <w:sz w:val="28"/>
          <w:szCs w:val="28"/>
        </w:rPr>
        <w:t xml:space="preserve">в случае, если проектная документация объекта капитального строительства подлежит экспертизе в соответствии со статьей 49 </w:t>
      </w:r>
      <w:bookmarkStart w:id="1" w:name="_Hlk22205531"/>
      <w:proofErr w:type="spellStart"/>
      <w:r w:rsidR="00284EA8" w:rsidRPr="00A22F1D">
        <w:rPr>
          <w:color w:val="000000"/>
          <w:sz w:val="28"/>
          <w:szCs w:val="28"/>
        </w:rPr>
        <w:t>ГрК</w:t>
      </w:r>
      <w:proofErr w:type="spellEnd"/>
      <w:r w:rsidR="00284EA8" w:rsidRPr="00A22F1D">
        <w:rPr>
          <w:color w:val="000000"/>
          <w:sz w:val="28"/>
          <w:szCs w:val="28"/>
        </w:rPr>
        <w:t xml:space="preserve"> РФ</w:t>
      </w:r>
      <w:bookmarkEnd w:id="1"/>
      <w:r w:rsidR="00284EA8" w:rsidRPr="00A22F1D">
        <w:rPr>
          <w:color w:val="000000"/>
          <w:sz w:val="28"/>
          <w:szCs w:val="28"/>
        </w:rPr>
        <w:t>.</w:t>
      </w:r>
    </w:p>
    <w:p w:rsidR="00A22F1D" w:rsidRDefault="00A22F1D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8"/>
          <w:szCs w:val="28"/>
        </w:rPr>
      </w:pPr>
      <w:r w:rsidRPr="00A22F1D">
        <w:rPr>
          <w:color w:val="000000"/>
          <w:sz w:val="28"/>
          <w:szCs w:val="28"/>
        </w:rPr>
        <w:t>2. Государственный строительный надзор осуществляется в форме проверок.</w:t>
      </w:r>
      <w:r w:rsidR="00113020">
        <w:rPr>
          <w:color w:val="000000"/>
          <w:sz w:val="28"/>
          <w:szCs w:val="28"/>
        </w:rPr>
        <w:t xml:space="preserve"> Распоряжением инспекции издается приказ о назначении должностных лиц для осуществления государственного строительного надзора. Составляется программа проведения проверок.</w:t>
      </w:r>
    </w:p>
    <w:p w:rsidR="00145164" w:rsidRDefault="00145164" w:rsidP="00C77E7E">
      <w:pPr>
        <w:pStyle w:val="a3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завершения очередного этапа (согласно программы проведения проверок) участники строительства направляют в инспекцию извещение о сроках завершения работ, подлежащих проверке. Инспекцией назначается проверка предъявляемого этапа работ.</w:t>
      </w:r>
    </w:p>
    <w:p w:rsidR="00A22F1D" w:rsidRDefault="00145164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8"/>
          <w:szCs w:val="28"/>
        </w:rPr>
      </w:pPr>
      <w:bookmarkStart w:id="2" w:name="_Hlk38530424"/>
      <w:r>
        <w:rPr>
          <w:color w:val="000000"/>
          <w:sz w:val="28"/>
          <w:szCs w:val="28"/>
        </w:rPr>
        <w:t xml:space="preserve">3. </w:t>
      </w:r>
      <w:bookmarkEnd w:id="2"/>
      <w:r w:rsidR="00113020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>выявления нарушений</w:t>
      </w:r>
      <w:r w:rsidR="00113020">
        <w:rPr>
          <w:color w:val="000000"/>
          <w:sz w:val="28"/>
          <w:szCs w:val="28"/>
        </w:rPr>
        <w:t xml:space="preserve"> при прове</w:t>
      </w:r>
      <w:r>
        <w:rPr>
          <w:color w:val="000000"/>
          <w:sz w:val="28"/>
          <w:szCs w:val="28"/>
        </w:rPr>
        <w:t>дении проверки инспекцией выдается</w:t>
      </w:r>
      <w:r w:rsidR="00113020">
        <w:rPr>
          <w:color w:val="000000"/>
          <w:sz w:val="28"/>
          <w:szCs w:val="28"/>
        </w:rPr>
        <w:t xml:space="preserve"> предписание об устранении выявлен</w:t>
      </w:r>
      <w:r>
        <w:rPr>
          <w:color w:val="000000"/>
          <w:sz w:val="28"/>
          <w:szCs w:val="28"/>
        </w:rPr>
        <w:t>ных нарушений. У</w:t>
      </w:r>
      <w:r w:rsidR="00113020">
        <w:rPr>
          <w:color w:val="000000"/>
          <w:sz w:val="28"/>
          <w:szCs w:val="28"/>
        </w:rPr>
        <w:t>частники строительства, в адрес которых выдано предписание, обязаны устранить выявленные нарушения в сроки</w:t>
      </w:r>
      <w:r w:rsidR="008D1302">
        <w:rPr>
          <w:color w:val="000000"/>
          <w:sz w:val="28"/>
          <w:szCs w:val="28"/>
        </w:rPr>
        <w:t>,</w:t>
      </w:r>
      <w:r w:rsidR="00113020">
        <w:rPr>
          <w:color w:val="000000"/>
          <w:sz w:val="28"/>
          <w:szCs w:val="28"/>
        </w:rPr>
        <w:t xml:space="preserve"> указанные в предписании</w:t>
      </w:r>
      <w:r>
        <w:rPr>
          <w:color w:val="000000"/>
          <w:sz w:val="28"/>
          <w:szCs w:val="28"/>
        </w:rPr>
        <w:t xml:space="preserve"> </w:t>
      </w:r>
      <w:r w:rsidR="00113020">
        <w:rPr>
          <w:color w:val="000000"/>
          <w:sz w:val="28"/>
          <w:szCs w:val="28"/>
        </w:rPr>
        <w:t>и представить в инспекцию извещение об устранении нарушений при строительстве, реконструкции объекта капитального строительства. На основании данного извещения инспекцией назначается проверка исполнения предписания.</w:t>
      </w:r>
    </w:p>
    <w:p w:rsidR="00284EA8" w:rsidRPr="00145164" w:rsidRDefault="00145164" w:rsidP="008D1302">
      <w:pPr>
        <w:pStyle w:val="a3"/>
        <w:shd w:val="clear" w:color="auto" w:fill="FFFFFF"/>
        <w:tabs>
          <w:tab w:val="left" w:pos="4947"/>
          <w:tab w:val="left" w:pos="9474"/>
        </w:tabs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84EA8" w:rsidRPr="00145164">
        <w:rPr>
          <w:color w:val="000000"/>
          <w:sz w:val="28"/>
          <w:szCs w:val="28"/>
        </w:rPr>
        <w:t>Застройщиком или техническим заказчиком после фактического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>окончания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>строительства,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>реконструкции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>объекта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>капитального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 xml:space="preserve">строительства, устранения всех нарушений, допущенных при строительстве, реконструкции объекта капитального строительства, оформления исполнительной документации, связанной с выполнением всех работ </w:t>
      </w:r>
      <w:r w:rsidR="00B07C50">
        <w:rPr>
          <w:color w:val="000000"/>
          <w:sz w:val="28"/>
          <w:szCs w:val="28"/>
        </w:rPr>
        <w:t xml:space="preserve">                 </w:t>
      </w:r>
      <w:r w:rsidR="00284EA8" w:rsidRPr="00145164">
        <w:rPr>
          <w:color w:val="000000"/>
          <w:sz w:val="28"/>
          <w:szCs w:val="28"/>
        </w:rPr>
        <w:t>по строительству, реконструкции объекта капитального строительства,</w:t>
      </w:r>
      <w:r w:rsidR="00454914" w:rsidRPr="00145164">
        <w:rPr>
          <w:color w:val="000000"/>
          <w:sz w:val="28"/>
          <w:szCs w:val="28"/>
        </w:rPr>
        <w:t xml:space="preserve"> </w:t>
      </w:r>
      <w:r w:rsidR="00284EA8" w:rsidRPr="00145164">
        <w:rPr>
          <w:color w:val="000000"/>
          <w:sz w:val="28"/>
          <w:szCs w:val="28"/>
        </w:rPr>
        <w:t xml:space="preserve">а также применением строительных материалов (изделий) в </w:t>
      </w:r>
      <w:r w:rsidR="00CE564F">
        <w:rPr>
          <w:color w:val="000000"/>
          <w:sz w:val="28"/>
          <w:szCs w:val="28"/>
        </w:rPr>
        <w:t>инспекцию</w:t>
      </w:r>
      <w:r w:rsidR="00284EA8" w:rsidRPr="00145164">
        <w:rPr>
          <w:color w:val="000000"/>
          <w:sz w:val="28"/>
          <w:szCs w:val="28"/>
        </w:rPr>
        <w:t xml:space="preserve"> направляется извещение об окончании строительства объекта капитального строительства.</w:t>
      </w:r>
    </w:p>
    <w:p w:rsidR="00284EA8" w:rsidRPr="00145164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145164">
        <w:rPr>
          <w:color w:val="000000"/>
          <w:sz w:val="28"/>
          <w:szCs w:val="28"/>
        </w:rPr>
        <w:t>Указанное извещение является основанием для проведения проверки законченного строительством объекта (итоговой проверки).</w:t>
      </w:r>
    </w:p>
    <w:p w:rsidR="00284EA8" w:rsidRPr="008C707C" w:rsidRDefault="008C707C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84EA8" w:rsidRPr="008C707C">
        <w:rPr>
          <w:color w:val="000000"/>
          <w:sz w:val="28"/>
          <w:szCs w:val="28"/>
        </w:rPr>
        <w:t>Акт, составленный по итогам проверки законченного строительством объекта капитального строительства (при отсутствии сведений о выявлении нарушений или о невыполнении всего объема работ, предусмотренного проектной документацией), является основанием для обращения застройщика или технического заказчика за выдачей заключения о соответствии.</w:t>
      </w:r>
    </w:p>
    <w:p w:rsidR="00284EA8" w:rsidRPr="008C707C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8"/>
          <w:szCs w:val="28"/>
        </w:rPr>
      </w:pPr>
      <w:r w:rsidRPr="008C707C">
        <w:rPr>
          <w:color w:val="000000"/>
          <w:sz w:val="28"/>
          <w:szCs w:val="28"/>
        </w:rPr>
        <w:t xml:space="preserve">Заключение о соответствии выдается, если при строительстве, реконструкции объекта капитального строительства не были допущены </w:t>
      </w:r>
      <w:r w:rsidRPr="008C707C">
        <w:rPr>
          <w:color w:val="000000"/>
          <w:sz w:val="28"/>
          <w:szCs w:val="28"/>
        </w:rPr>
        <w:lastRenderedPageBreak/>
        <w:t xml:space="preserve">нарушения соответствия выполняемых работ </w:t>
      </w:r>
      <w:hyperlink r:id="rId8" w:history="1">
        <w:r w:rsidRPr="003470BA">
          <w:rPr>
            <w:rStyle w:val="a5"/>
            <w:sz w:val="28"/>
            <w:szCs w:val="28"/>
          </w:rPr>
          <w:t>обязательным требованиям</w:t>
        </w:r>
      </w:hyperlink>
      <w:r w:rsidRPr="008C707C">
        <w:rPr>
          <w:color w:val="000000"/>
          <w:sz w:val="28"/>
          <w:szCs w:val="28"/>
        </w:rPr>
        <w:t xml:space="preserve"> либо такие нарушения были устранены до даты выдачи заключения</w:t>
      </w:r>
      <w:r w:rsidR="00B07C50">
        <w:rPr>
          <w:color w:val="000000"/>
          <w:sz w:val="28"/>
          <w:szCs w:val="28"/>
        </w:rPr>
        <w:t xml:space="preserve"> </w:t>
      </w:r>
      <w:r w:rsidRPr="008C707C">
        <w:rPr>
          <w:color w:val="000000"/>
          <w:sz w:val="28"/>
          <w:szCs w:val="28"/>
        </w:rPr>
        <w:t>о соответствии.</w:t>
      </w:r>
    </w:p>
    <w:p w:rsidR="00284EA8" w:rsidRPr="008C707C" w:rsidRDefault="00284EA8" w:rsidP="00C77E7E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  <w:r w:rsidRPr="008C707C">
        <w:rPr>
          <w:color w:val="000000"/>
          <w:sz w:val="28"/>
          <w:szCs w:val="28"/>
        </w:rPr>
        <w:t>Решение об отказе в выдаче заключения о соответствии принимается, если при строительстве, реконструкции объекта капитального строительства были допущены нарушения соответствия выполненных работ обязательным требованиям и такие нарушения не были устранены до даты принятия решения.</w:t>
      </w:r>
    </w:p>
    <w:p w:rsidR="00284EA8" w:rsidRPr="008C707C" w:rsidRDefault="00284EA8" w:rsidP="00A80CE9">
      <w:pPr>
        <w:pStyle w:val="a3"/>
        <w:shd w:val="clear" w:color="auto" w:fill="FFFFFF"/>
        <w:spacing w:before="0" w:beforeAutospacing="0" w:after="240" w:afterAutospacing="0"/>
        <w:ind w:left="20" w:right="20" w:firstLine="700"/>
        <w:jc w:val="both"/>
        <w:rPr>
          <w:sz w:val="28"/>
          <w:szCs w:val="28"/>
        </w:rPr>
      </w:pPr>
      <w:r w:rsidRPr="008C707C">
        <w:rPr>
          <w:color w:val="000000"/>
          <w:sz w:val="28"/>
          <w:szCs w:val="28"/>
        </w:rPr>
        <w:t xml:space="preserve">Принятие </w:t>
      </w:r>
      <w:r w:rsidR="00CE564F">
        <w:rPr>
          <w:color w:val="000000"/>
          <w:sz w:val="28"/>
          <w:szCs w:val="28"/>
        </w:rPr>
        <w:t xml:space="preserve">инспекцией </w:t>
      </w:r>
      <w:r w:rsidRPr="008C707C">
        <w:rPr>
          <w:color w:val="000000"/>
          <w:sz w:val="28"/>
          <w:szCs w:val="28"/>
        </w:rPr>
        <w:t xml:space="preserve">решения об отказе в выдаче заключения </w:t>
      </w:r>
      <w:r w:rsidR="00B07C50">
        <w:rPr>
          <w:color w:val="000000"/>
          <w:sz w:val="28"/>
          <w:szCs w:val="28"/>
        </w:rPr>
        <w:t xml:space="preserve">                               </w:t>
      </w:r>
      <w:r w:rsidRPr="008C707C">
        <w:rPr>
          <w:color w:val="000000"/>
          <w:sz w:val="28"/>
          <w:szCs w:val="28"/>
        </w:rPr>
        <w:t xml:space="preserve">о соответствии не препятствует повторному обращению застройщика или технического заказчика за выдачей заключения о соответствии после устранения причин, послуживших основанием для принятия </w:t>
      </w:r>
      <w:r w:rsidR="0060354D" w:rsidRPr="008C707C">
        <w:rPr>
          <w:color w:val="000000"/>
          <w:sz w:val="28"/>
          <w:szCs w:val="28"/>
        </w:rPr>
        <w:t>государственным органом</w:t>
      </w:r>
      <w:r w:rsidRPr="008C707C">
        <w:rPr>
          <w:color w:val="000000"/>
          <w:sz w:val="28"/>
          <w:szCs w:val="28"/>
        </w:rPr>
        <w:t xml:space="preserve"> указанного решения.</w:t>
      </w:r>
      <w:r w:rsidRPr="008C707C">
        <w:rPr>
          <w:sz w:val="28"/>
          <w:szCs w:val="28"/>
        </w:rPr>
        <w:t> </w:t>
      </w:r>
    </w:p>
    <w:p w:rsidR="00CE564F" w:rsidRPr="005A4C8D" w:rsidRDefault="00CE564F" w:rsidP="00CE5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8D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инспекции государственного строительного надзора</w:t>
      </w:r>
      <w:r w:rsidRPr="005A4C8D">
        <w:rPr>
          <w:rFonts w:ascii="Times New Roman" w:hAnsi="Times New Roman"/>
          <w:sz w:val="28"/>
          <w:szCs w:val="28"/>
        </w:rPr>
        <w:t xml:space="preserve"> Архангельской области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</w:t>
      </w:r>
      <w:r>
        <w:rPr>
          <w:rFonts w:ascii="Times New Roman" w:hAnsi="Times New Roman"/>
          <w:sz w:val="28"/>
          <w:szCs w:val="28"/>
        </w:rPr>
        <w:t>инспекции и по телефону</w:t>
      </w:r>
      <w:r w:rsidRPr="005A4C8D">
        <w:rPr>
          <w:rFonts w:ascii="Times New Roman" w:hAnsi="Times New Roman"/>
          <w:sz w:val="28"/>
          <w:szCs w:val="28"/>
        </w:rPr>
        <w:t xml:space="preserve">: </w:t>
      </w:r>
      <w:r w:rsidRPr="005A4C8D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65-72-53</w:t>
      </w:r>
      <w:r w:rsidRPr="005A4C8D">
        <w:rPr>
          <w:rFonts w:ascii="Times New Roman" w:hAnsi="Times New Roman"/>
          <w:b/>
          <w:sz w:val="28"/>
          <w:szCs w:val="28"/>
        </w:rPr>
        <w:t>.</w:t>
      </w:r>
    </w:p>
    <w:p w:rsidR="00A64F62" w:rsidRDefault="00A64F62" w:rsidP="00A64F62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</w:p>
    <w:p w:rsidR="00A1722D" w:rsidRDefault="00A1722D" w:rsidP="00A8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</w:pPr>
    </w:p>
    <w:p w:rsidR="00557F3B" w:rsidRDefault="00557F3B" w:rsidP="00A80CE9">
      <w:pPr>
        <w:spacing w:after="0" w:line="240" w:lineRule="auto"/>
        <w:jc w:val="both"/>
        <w:rPr>
          <w:sz w:val="28"/>
          <w:szCs w:val="28"/>
        </w:rPr>
        <w:sectPr w:rsidR="00557F3B" w:rsidSect="00557F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F3B" w:rsidRPr="008C707C" w:rsidRDefault="00557F3B" w:rsidP="00557F3B">
      <w:pPr>
        <w:pStyle w:val="a3"/>
        <w:shd w:val="clear" w:color="auto" w:fill="FFFFFF"/>
        <w:spacing w:before="0" w:beforeAutospacing="0" w:after="244" w:afterAutospacing="0"/>
        <w:ind w:left="20" w:right="20" w:firstLine="700"/>
        <w:jc w:val="center"/>
        <w:rPr>
          <w:sz w:val="28"/>
          <w:szCs w:val="28"/>
        </w:rPr>
      </w:pPr>
      <w:r w:rsidRPr="008C707C">
        <w:rPr>
          <w:b/>
          <w:bCs/>
          <w:color w:val="000000"/>
          <w:sz w:val="28"/>
          <w:szCs w:val="28"/>
        </w:rPr>
        <w:lastRenderedPageBreak/>
        <w:t>Ответственность за нарушение обязательных требований, подлежащих исполнению при строительстве (реконструкции) объектов капитального строительства</w:t>
      </w: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580"/>
        <w:gridCol w:w="2114"/>
        <w:gridCol w:w="4961"/>
        <w:gridCol w:w="993"/>
        <w:gridCol w:w="6662"/>
      </w:tblGrid>
      <w:tr w:rsidR="00557F3B" w:rsidRPr="00EA31A6" w:rsidTr="00EA31A6">
        <w:trPr>
          <w:trHeight w:val="600"/>
        </w:trPr>
        <w:tc>
          <w:tcPr>
            <w:tcW w:w="580" w:type="dxa"/>
            <w:noWrap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4" w:type="dxa"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Субъекты строительства</w:t>
            </w:r>
          </w:p>
        </w:tc>
        <w:tc>
          <w:tcPr>
            <w:tcW w:w="4961" w:type="dxa"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Допущенные нарушения требований нормативных документов</w:t>
            </w:r>
          </w:p>
        </w:tc>
        <w:tc>
          <w:tcPr>
            <w:tcW w:w="993" w:type="dxa"/>
            <w:hideMark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Статья Ко</w:t>
            </w:r>
            <w:r w:rsidR="00557F3B" w:rsidRPr="00EA31A6">
              <w:rPr>
                <w:color w:val="000000"/>
                <w:sz w:val="20"/>
                <w:szCs w:val="20"/>
              </w:rPr>
              <w:t>АП</w:t>
            </w:r>
            <w:r w:rsidRPr="00EA31A6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6662" w:type="dxa"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Ссылка на положения нормативных правовых актов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noWrap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noWrap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hideMark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noWrap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Застройщик, </w:t>
            </w:r>
            <w:r w:rsidR="00557F3B" w:rsidRPr="00EA31A6">
              <w:rPr>
                <w:color w:val="000000"/>
                <w:sz w:val="20"/>
                <w:szCs w:val="20"/>
              </w:rPr>
              <w:t xml:space="preserve">технический </w:t>
            </w:r>
            <w:r w:rsidRPr="00EA31A6">
              <w:rPr>
                <w:color w:val="000000"/>
                <w:sz w:val="20"/>
                <w:szCs w:val="20"/>
              </w:rPr>
              <w:t>заказчик, подрядная организация</w:t>
            </w: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-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ч.1 ст.9.4 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пункт 44,45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 марта 2007 года № 145;  пункт 15 статьи 48, статья 52, статья 53 Градостроительного кодекса Российской Федерации</w:t>
            </w:r>
            <w:r w:rsidR="00AC01A9" w:rsidRPr="00EA31A6">
              <w:rPr>
                <w:color w:val="000000"/>
                <w:sz w:val="20"/>
                <w:szCs w:val="20"/>
              </w:rPr>
              <w:t xml:space="preserve"> </w:t>
            </w:r>
            <w:r w:rsidRPr="00EA31A6">
              <w:rPr>
                <w:color w:val="000000"/>
                <w:sz w:val="20"/>
                <w:szCs w:val="20"/>
              </w:rPr>
              <w:t>о</w:t>
            </w:r>
            <w:r w:rsidR="00AC01A9" w:rsidRPr="00EA31A6">
              <w:rPr>
                <w:color w:val="000000"/>
                <w:sz w:val="20"/>
                <w:szCs w:val="20"/>
              </w:rPr>
              <w:t>т 29 декабря 200</w:t>
            </w:r>
            <w:r w:rsidRPr="00EA31A6">
              <w:rPr>
                <w:color w:val="000000"/>
                <w:sz w:val="20"/>
                <w:szCs w:val="20"/>
              </w:rPr>
              <w:t>4 года № 190-ФЗ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4" w:type="dxa"/>
            <w:noWrap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Застройщик, технический заказчик</w:t>
            </w: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- строительство, реконструкция объектов капитального строительства без разрешения на строительство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ч.1 ст.9.5 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часть 1, 2 статьи 51, часть 1 статьи 55 Градостроительного кодекса Российской Федерации от 29 декабря 2004 года № 190-ФЗ 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noWrap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Застройщик, </w:t>
            </w:r>
            <w:r w:rsidR="00557F3B" w:rsidRPr="00EA31A6">
              <w:rPr>
                <w:color w:val="000000"/>
                <w:sz w:val="20"/>
                <w:szCs w:val="20"/>
              </w:rPr>
              <w:t xml:space="preserve">технический </w:t>
            </w:r>
            <w:r w:rsidRPr="00EA31A6">
              <w:rPr>
                <w:color w:val="000000"/>
                <w:sz w:val="20"/>
                <w:szCs w:val="20"/>
              </w:rPr>
              <w:t>заказчик, подрядная организация</w:t>
            </w: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- нарушение сроков направления извещения о начале строительства, реконструкции объектов капитального строительства или не</w:t>
            </w:r>
            <w:r w:rsidR="00AC01A9" w:rsidRPr="00EA31A6">
              <w:rPr>
                <w:color w:val="000000"/>
                <w:sz w:val="20"/>
                <w:szCs w:val="20"/>
              </w:rPr>
              <w:t xml:space="preserve"> </w:t>
            </w:r>
            <w:r w:rsidRPr="00EA31A6">
              <w:rPr>
                <w:color w:val="000000"/>
                <w:sz w:val="20"/>
                <w:szCs w:val="20"/>
              </w:rPr>
              <w:t xml:space="preserve">уведомление о сроках завершения работ, которые подлежат проверке 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ч.2 ст.9.5 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часть 5 статьи 52 Градостроительного кодекса Российс</w:t>
            </w:r>
            <w:r w:rsidR="00AC01A9" w:rsidRPr="00EA31A6">
              <w:rPr>
                <w:color w:val="000000"/>
                <w:sz w:val="20"/>
                <w:szCs w:val="20"/>
              </w:rPr>
              <w:t>кой Федерации от 29 декабря 200</w:t>
            </w:r>
            <w:r w:rsidRPr="00EA31A6">
              <w:rPr>
                <w:color w:val="000000"/>
                <w:sz w:val="20"/>
                <w:szCs w:val="20"/>
              </w:rPr>
              <w:t>4 года № 190-ФЗ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4" w:type="dxa"/>
            <w:noWrap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Застройщик, </w:t>
            </w:r>
            <w:r w:rsidR="00557F3B" w:rsidRPr="00EA31A6">
              <w:rPr>
                <w:color w:val="000000"/>
                <w:sz w:val="20"/>
                <w:szCs w:val="20"/>
              </w:rPr>
              <w:t xml:space="preserve">технический </w:t>
            </w:r>
            <w:r w:rsidRPr="00EA31A6">
              <w:rPr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- эксплуатация объекта капитального строительства без разрешения на ввод его в эксплуатацию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ч.5 ст.9.5 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часть 1, 2 статьи 55 Градостроительного кодекса Российс</w:t>
            </w:r>
            <w:r w:rsidR="00AC01A9" w:rsidRPr="00EA31A6">
              <w:rPr>
                <w:color w:val="000000"/>
                <w:sz w:val="20"/>
                <w:szCs w:val="20"/>
              </w:rPr>
              <w:t>кой Федерации от 29 декабря 200</w:t>
            </w:r>
            <w:r w:rsidRPr="00EA31A6">
              <w:rPr>
                <w:color w:val="000000"/>
                <w:sz w:val="20"/>
                <w:szCs w:val="20"/>
              </w:rPr>
              <w:t xml:space="preserve">4 года № 190-ФЗ 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noWrap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Застройщик, </w:t>
            </w:r>
            <w:r w:rsidR="00557F3B" w:rsidRPr="00EA31A6">
              <w:rPr>
                <w:color w:val="000000"/>
                <w:sz w:val="20"/>
                <w:szCs w:val="20"/>
              </w:rPr>
              <w:t>технический заказчик,</w:t>
            </w:r>
            <w:r w:rsidRPr="00EA31A6">
              <w:rPr>
                <w:color w:val="000000"/>
                <w:sz w:val="20"/>
                <w:szCs w:val="20"/>
              </w:rPr>
              <w:t xml:space="preserve"> подрядная организация</w:t>
            </w: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- невыполнение в установленный срок законного предписания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ч.6 ст.19.5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Федеральный закон от 26.12.2008 № 294-ФЗ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vMerge w:val="restart"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center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4" w:type="dxa"/>
            <w:vMerge w:val="restart"/>
            <w:noWrap/>
          </w:tcPr>
          <w:p w:rsidR="00557F3B" w:rsidRPr="00EA31A6" w:rsidRDefault="00AC01A9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Застройщик, подрядная организация</w:t>
            </w: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 xml:space="preserve"> - несоблюдение экологических требований при строительстве, реконструкции,  зданий, строений, сооружений и иных объектов капитального строительства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ст. 8.1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ст. 37 ФЗ от 10.01.2002 № 7-ФЗ "Об охране окружающей среды"</w:t>
            </w:r>
          </w:p>
        </w:tc>
      </w:tr>
      <w:tr w:rsidR="00557F3B" w:rsidRPr="00EA31A6" w:rsidTr="00EA31A6">
        <w:trPr>
          <w:trHeight w:val="300"/>
        </w:trPr>
        <w:tc>
          <w:tcPr>
            <w:tcW w:w="580" w:type="dxa"/>
            <w:vMerge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ind w:left="20" w:righ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noWrap/>
          </w:tcPr>
          <w:p w:rsidR="00557F3B" w:rsidRPr="00EA31A6" w:rsidRDefault="00557F3B" w:rsidP="00201F95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- нарушение законодательства  в области обеспечения санитарно-эпидемиологического благополучия населения, выразившееся в нарушении действующих санитарных правил 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993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ст. 6.3</w:t>
            </w:r>
          </w:p>
        </w:tc>
        <w:tc>
          <w:tcPr>
            <w:tcW w:w="6662" w:type="dxa"/>
          </w:tcPr>
          <w:p w:rsidR="00557F3B" w:rsidRPr="00EA31A6" w:rsidRDefault="00557F3B" w:rsidP="00EA31A6">
            <w:pPr>
              <w:pStyle w:val="a3"/>
              <w:shd w:val="clear" w:color="auto" w:fill="FFFFFF"/>
              <w:tabs>
                <w:tab w:val="left" w:pos="9431"/>
              </w:tabs>
              <w:spacing w:after="0"/>
              <w:ind w:left="20" w:right="20"/>
              <w:jc w:val="both"/>
              <w:rPr>
                <w:color w:val="000000"/>
                <w:sz w:val="20"/>
                <w:szCs w:val="20"/>
              </w:rPr>
            </w:pPr>
            <w:r w:rsidRPr="00EA31A6">
              <w:rPr>
                <w:color w:val="000000"/>
                <w:sz w:val="20"/>
                <w:szCs w:val="20"/>
              </w:rPr>
              <w:t>требования санитарных правил и норм, гигиенических нормативов</w:t>
            </w:r>
          </w:p>
        </w:tc>
      </w:tr>
    </w:tbl>
    <w:p w:rsidR="00EA31A6" w:rsidRPr="00EA31A6" w:rsidRDefault="00EA31A6" w:rsidP="00EA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F3B" w:rsidRPr="00EA31A6" w:rsidRDefault="00EA31A6" w:rsidP="00EA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A6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</w:p>
    <w:sectPr w:rsidR="00557F3B" w:rsidRPr="00EA31A6" w:rsidSect="00557F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2FCF"/>
    <w:multiLevelType w:val="multilevel"/>
    <w:tmpl w:val="B58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150D8"/>
    <w:multiLevelType w:val="multilevel"/>
    <w:tmpl w:val="4382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0659C"/>
    <w:multiLevelType w:val="multilevel"/>
    <w:tmpl w:val="D2D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8"/>
    <w:rsid w:val="000851AC"/>
    <w:rsid w:val="00113020"/>
    <w:rsid w:val="00134232"/>
    <w:rsid w:val="00142FE4"/>
    <w:rsid w:val="00145164"/>
    <w:rsid w:val="0019197E"/>
    <w:rsid w:val="001F77A4"/>
    <w:rsid w:val="002725E7"/>
    <w:rsid w:val="00284EA8"/>
    <w:rsid w:val="002D7AB3"/>
    <w:rsid w:val="003470BA"/>
    <w:rsid w:val="00375B08"/>
    <w:rsid w:val="003B4FAB"/>
    <w:rsid w:val="0043623E"/>
    <w:rsid w:val="004437C4"/>
    <w:rsid w:val="00454914"/>
    <w:rsid w:val="004F6B09"/>
    <w:rsid w:val="00543DDF"/>
    <w:rsid w:val="00557F3B"/>
    <w:rsid w:val="0059384E"/>
    <w:rsid w:val="005A2B57"/>
    <w:rsid w:val="005B4B78"/>
    <w:rsid w:val="005D0BB4"/>
    <w:rsid w:val="005D4CDB"/>
    <w:rsid w:val="0060354D"/>
    <w:rsid w:val="006C1A19"/>
    <w:rsid w:val="007F1FDA"/>
    <w:rsid w:val="00833E85"/>
    <w:rsid w:val="008902E3"/>
    <w:rsid w:val="008C707C"/>
    <w:rsid w:val="008D1302"/>
    <w:rsid w:val="009016AB"/>
    <w:rsid w:val="009A609C"/>
    <w:rsid w:val="00A1722D"/>
    <w:rsid w:val="00A22F1D"/>
    <w:rsid w:val="00A546DD"/>
    <w:rsid w:val="00A64F62"/>
    <w:rsid w:val="00A80CE9"/>
    <w:rsid w:val="00AC01A9"/>
    <w:rsid w:val="00B07C50"/>
    <w:rsid w:val="00B5748A"/>
    <w:rsid w:val="00B80308"/>
    <w:rsid w:val="00B95373"/>
    <w:rsid w:val="00BE222D"/>
    <w:rsid w:val="00BF5BA9"/>
    <w:rsid w:val="00C30900"/>
    <w:rsid w:val="00C55DA1"/>
    <w:rsid w:val="00C579EB"/>
    <w:rsid w:val="00C603D1"/>
    <w:rsid w:val="00C77E7E"/>
    <w:rsid w:val="00CE564F"/>
    <w:rsid w:val="00D33E3E"/>
    <w:rsid w:val="00D85111"/>
    <w:rsid w:val="00DC1557"/>
    <w:rsid w:val="00E94BD5"/>
    <w:rsid w:val="00EA31A6"/>
    <w:rsid w:val="00F44DCF"/>
    <w:rsid w:val="00F5367A"/>
    <w:rsid w:val="00FB20AE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049,bqiaagaaeyqcaaagiaiaaanfoweabspcaqaaaaaaaaaaaaaaaaaaaaaaaaaaaaaaaaaaaaaaaaaaaaaaaaaaaaaaaaaaaaaaaaaaaaaaaaaaaaaaaaaaaaaaaaaaaaaaaaaaaaaaaaaaaaaaaaaaaaaaaaaaaaaaaaaaaaaaaaaaaaaaaaaaaaaaaaaaaaaaaaaaaaaaaaaaaaaaaaaaaaaaaaaaaaaaaaaaaaa"/>
    <w:basedOn w:val="a"/>
    <w:rsid w:val="002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62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23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3623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049,bqiaagaaeyqcaaagiaiaaanfoweabspcaqaaaaaaaaaaaaaaaaaaaaaaaaaaaaaaaaaaaaaaaaaaaaaaaaaaaaaaaaaaaaaaaaaaaaaaaaaaaaaaaaaaaaaaaaaaaaaaaaaaaaaaaaaaaaaaaaaaaaaaaaaaaaaaaaaaaaaaaaaaaaaaaaaaaaaaaaaaaaaaaaaaaaaaaaaaaaaaaaaaaaaaaaaaaaaaaaaaaaa"/>
    <w:basedOn w:val="a"/>
    <w:rsid w:val="002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62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23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3623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vinaland.ru/docs/pub/96d9c1d5ace352396d5d75caa5a1664d/&#1055;&#1077;&#1088;&#1077;&#1095;&#1077;&#1085;&#1100;_&#1053;&#1055;&#1040;,_&#1089;&#1086;&#1076;&#1077;&#1088;&#1078;&#1072;&#1097;&#1080;&#1093;_&#1086;&#1073;&#1103;&#1079;&#1072;&#1090;&#1077;&#1083;&#1100;&#1085;&#1099;&#1077;_&#1090;&#1088;&#1077;&#1073;&#1086;&#1074;&#1072;&#1085;&#1080;&#1103;_(&#1089;_&#1089;&#1089;&#1099;&#1083;&#1082;&#1072;&#1084;&#1080;)_&#1043;&#1057;&#1053;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dvinaland.ru/docs/pub/4ac8a747121eddca8ce7933fc3a3544c/&#1055;&#1077;&#1088;&#1077;&#1095;&#1077;&#1085;&#1100;_&#1053;&#1055;&#1040;_&#1087;&#1088;&#1080;_&#1086;&#1089;&#1091;&#1097;&#1077;&#1089;&#1090;&#1074;&#1083;&#1077;&#1085;&#1080;&#1080;_&#1075;&#1086;&#1089;&#1089;&#1090;&#1088;&#1086;&#1081;&#1085;&#1072;&#1076;&#1079;&#1086;&#1088;&#1072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9F65-4C66-4D21-A82F-CFA309F1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Ильенкова Дарья Николаевна</cp:lastModifiedBy>
  <cp:revision>6</cp:revision>
  <cp:lastPrinted>2020-04-24T07:28:00Z</cp:lastPrinted>
  <dcterms:created xsi:type="dcterms:W3CDTF">2020-04-24T07:29:00Z</dcterms:created>
  <dcterms:modified xsi:type="dcterms:W3CDTF">2020-06-26T08:09:00Z</dcterms:modified>
</cp:coreProperties>
</file>